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145</w:t>
      </w:r>
    </w:p>
    <w:p>
      <w:r>
        <w:t>Bundesgericht (BGE), 1995-04-05, DE</w:t>
      </w:r>
    </w:p>
    <w:p>
      <w:r>
        <w:rPr>
          <w:b/>
        </w:rPr>
        <w:t xml:space="preserve">Quelle: </w:t>
      </w:r>
      <w:r>
        <w:t>https://mcp.opencaselaw.ch/entscheid/bge_121 III 145</w:t>
      </w:r>
    </w:p>
    <w:p>
      <w:r>
        <w:t>FR: ATF 121 III 145</w:t>
      </w:r>
    </w:p>
    <w:p>
      <w:r>
        <w:t>IT: DTF 121 III 145</w:t>
      </w:r>
    </w:p>
    <w:p>
      <w:pPr>
        <w:pStyle w:val="Heading2"/>
      </w:pPr>
      <w:r>
        <w:t>Regeste</w:t>
      </w:r>
    </w:p>
    <w:p>
      <w:r>
        <w:t>Regeste Namensänderung bei einem Kind nicht verheirateter Eltern (Art. 30 Abs. 1 ZGB; Art. 270 Abs. 2 ZGB). Angesichts des in den letzten Jahren eingetretenen Sinneswandels in der Beurteilung ausserehelicher Kindesverhältnisse lässt sich allein in der Tatsache des stabilen Konkubinatsverhältnisses zwischen der Mutter als Inhaberin der elterlichen Gewalt und dem Konkubinatspartner als leiblichem Vater des in ihrer Hausgemeinschaft lebenden Kindes nicht mehr ein wichtiger Grund im Sinne von Art. 30 Abs. 1 ZGB erblicken. Vielmehr muss vom Kind verlangt werden, dass es in seinem Gesuch konkret aufzeigt, inwiefern ihm durch die von Gesetzes wegen vorgesehene Führung des Namens seiner Mutter (Art. 270 Abs. 2 ZGB) soziale Nachteile erwachsen, welche als wichtige Gründe für eine Namensänderung in Betracht gezogen werden können (E. 2; Änderung der Rechtsprechung).</w:t>
      </w:r>
    </w:p>
    <w:p>
      <w:pPr>
        <w:pStyle w:val="Heading2"/>
      </w:pPr>
      <w:r>
        <w:t>Erwägungen</w:t>
      </w:r>
    </w:p>
    <w:p>
      <w:r>
        <w:rPr>
          <w:b/>
        </w:rPr>
        <w:t>E. 2</w:t>
      </w:r>
    </w:p>
    <w:p>
      <w:r>
        <w:t>a) Nach Art. 30 Abs. 1 ZGB kann die Regierung des Wohnsitzkantons einer Person die Änderung des Namens bewilligen, wenn wichtige Gründe vorliegen. BGE 121 III 145 S. 147 Bezüglich der Änderung des Familiennamens unmündiger Kinder hat das Bundesgericht sowohl unter dem alten, nur unter dem Gesichtspunkt der Willkür überprüfbaren Recht, als auch unter der revidierten Gesetzesbestimmung, deren Verletzung nunmehr mit Berufung gerügt werden kann, eine relativ grosszügige Praxis zur Auslegung des wichtigen Grundes entwickelt. So hat es insbesondere eine Namensänderung gestattet, wenn das Kind bei einer Person mit anderem Namen aufwächst, die faktisch die Elternstelle versieht, die Übereinstimmung des Namens nicht oder nicht ohne weiteres durch Standesänderung herbeigeführt werden kann und die Namensänderung tatsächlich im Interesse dieses Kindes liegt. In diesem Sinne wurde eine Änderung des Namens regelmässig insbesondere für Kinder bewilligt, welche nach der Scheidung ihrer Eltern mit der Mutter zusammenleben, die ihren früheren Namen wieder angenommen hat ( BGE 109 II 177 E. 3 und 4 S. 179; BGE 110 II 433 ). Einer Namensänderung ist sodann in der Regel auch zugestimmt worden, wenn die Kinder mit Mutter und Stiefvater zusammenleben ( BGE 99 Ia 561 ); in bezug auf diesen Fall hat das Bundesgericht indes - wenn auch in einem unveröffentlichten Entscheid - hervorgehoben, allein im allgemeinen Hinweis des Kindes, es entspreche seinem Wohl, in Namenseinheit mit seiner Mutter und dem Stiefvater zu leben, sei kein wichtiger Grund für die Änderung des Familiennamens zu erblicken (nicht veröffentlichter Entscheid i.S. M. vom 12. August 1993, E. 2c). Bis in die neuere Zeit hinein wurden überdies auch Änderungen des Namens gestattet für Kinder, die zusammen mit ihrer Mutter und deren Konkubinatspartner wohnen, sofern dieser der leibliche Vater der Kinder ist und das Konkubinatsverhältnis dauerhaft und stabil erscheint. Dabei liess sich das Bundesgericht vom Gedanken leiten, dass einem Kind nicht miteinander verheirateter Eltern gesellschaftliche Nachteile erwachsen, wenn aufgrund seines Namens seine aussereheliche Geburt erkennbar werde ( BGE 105 II 241 , 247; BGE 107 II 289 , BGE 119 II 307 E. 3c S. 309 mit Hinweisen). Dem Kind wurde daher regelmässig ein legitimes Interesse daran zugestanden, seinen Namen mit demjenigen seiner sozialen Familie in Einklang zu bringen (vgl. nicht veröffentlichtes Urteil des Bundesgerichts i.S. J. &amp; T./T. vom 8. November 1990, E. 3c). In einem weiteren Entscheid hat das Bundesgericht schliesslich präzisiert, wichtige Gründe für eine Namensänderung eines ausserehelichen Kindes lägen nicht vor, wenn seine nicht verheirateten Eltern nicht zusammenleben ( BGE 117 II 6 ). BGE 121 III 145 S. 148 b) Die grosszügige Rechtsprechung des Bundesgerichts zur Namensänderungspraxis im Konkubinat lebender Kinder ist von der Lehre teils begrüsst (BERNARD SCHNEIDER, Situation juridique des enfants de concubins, in: Zeitschrift für Vormundschaftswesen (ZVW) 36/1981, S. 131/132 und Anm. 23), grösstenteils aber kritisiert worden (GUINAND, L'évolution de la jurisprudence en matière de changement de nom, in: Zeitschrift für Zivilstandswesen (ZZW) 48/1980, S. 358-361; LIVER, Die privatrechtliche Rechtsprechung des Bundesgerichts im Jahre 1979, in: ZBJV 117/1981, S. 67; DENISE MANGOLD, Familiennamensänderungen im Kanton Basel-Stadt unter Berücksichtigung von Fällen aus dem Bereiche des IPR, Diss. Basel 1981, S. 116; ANDREAS BRAUCHLI, Das Kindeswohl als Maxime des Rechts, Diss. ZH 1982, S. 89 ff.; STETTLER, Le nom, le droit de cité et le domicile de l'enfant à la suite de diverses réformes législatives, in: ZVW 42/1987, S. 85 f., HEGNAUER, N. 88 f. zu Art. 270; GEISER, Die neuere Namensänderungspraxis des schweizerischen Bundesgerichts, in: ZZW 61/1993, S. 379 und 382). c) Mit Blick auf die zahlreichen Eineltern- oder Konkubinatsfamilien und die damit bzw. mit der Revision des Kindesrechts erfolgte gesellschaftliche Änderung in der Beurteilung ausserehelicher Kindesverhältnisse lässt sich nicht mehr damit argumentieren, die Übernahme des väterlichen Namens vermöge generell den sozialen Nachteilen zu begegnen, welche diese Kinder wegen des Namensunterschieds in Kauf zu nehmen hätten. Solche Nachteile müssten zudem ernsthafter Natur sein. Zudem lässt sich mit der Übernahme des väterlichen Namens durch das Kind die angestrebte Einheit des Familiennamens ohne Standesänderung ohnehin nicht erreichen. Angesichts des bereits seit einigen Jahren in der sozialen Umwelt eingetretenen Sinneswandels lässt sich somit allein in der Tatsache des stabilen Konkubinatsverhältnisses zwischen der Mutter als Inhaberin der elterlichen Gewalt und dem Konkubinatspartner als leiblichem Vater des in ihrer Hausgemeinschaft lebenden Kindes nicht mehr ein wichtiger Grund im Sinne von Art. 30 Abs. 1 ZGB erblicken. Vielmehr muss vom Kind verlangt werden, dass es in seinem Gesuch konkret aufzeigt, inwiefern ihm durch die von Gesetzes wegen vorgesehene Führung des Namens seiner Mutter ( Art. 270 Abs. 2 ZGB ) ernsthafte soziale Nachteile erwachsen, welche als wichtige Gründe für eine Namensänderung in Betracht gezogen werden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